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6114" w14:textId="2F5BCE63" w:rsidR="0088276F" w:rsidRPr="00F001A2" w:rsidRDefault="00460FF2" w:rsidP="00AD6040">
      <w:pPr>
        <w:pStyle w:val="TreA"/>
        <w:jc w:val="center"/>
        <w:rPr>
          <w:b/>
          <w:bCs/>
          <w:sz w:val="24"/>
          <w:szCs w:val="24"/>
        </w:rPr>
      </w:pPr>
      <w:bookmarkStart w:id="0" w:name="_Hlk33128289"/>
      <w:bookmarkStart w:id="1" w:name="OLE_LINK6"/>
      <w:r w:rsidRPr="00F001A2">
        <w:rPr>
          <w:b/>
          <w:bCs/>
          <w:sz w:val="24"/>
          <w:szCs w:val="24"/>
        </w:rPr>
        <w:t>„</w:t>
      </w:r>
      <w:r w:rsidR="008C0319" w:rsidRPr="008C0319">
        <w:rPr>
          <w:b/>
          <w:bCs/>
          <w:sz w:val="24"/>
          <w:szCs w:val="24"/>
        </w:rPr>
        <w:t>Pod koronami drzew</w:t>
      </w:r>
      <w:r w:rsidRPr="00F001A2">
        <w:rPr>
          <w:b/>
          <w:bCs/>
          <w:sz w:val="24"/>
          <w:szCs w:val="24"/>
        </w:rPr>
        <w:t>”</w:t>
      </w:r>
    </w:p>
    <w:p w14:paraId="100DDA33" w14:textId="0D65C335" w:rsidR="00A967B9" w:rsidRPr="00F001A2" w:rsidRDefault="0088276F" w:rsidP="00A967B9">
      <w:pPr>
        <w:pStyle w:val="TreA"/>
        <w:jc w:val="center"/>
        <w:rPr>
          <w:b/>
          <w:bCs/>
          <w:sz w:val="24"/>
          <w:szCs w:val="24"/>
        </w:rPr>
      </w:pPr>
      <w:r w:rsidRPr="00F001A2">
        <w:rPr>
          <w:b/>
          <w:bCs/>
          <w:sz w:val="24"/>
          <w:szCs w:val="24"/>
        </w:rPr>
        <w:t xml:space="preserve">reż. </w:t>
      </w:r>
      <w:proofErr w:type="spellStart"/>
      <w:r w:rsidR="008C0319" w:rsidRPr="008C0319">
        <w:rPr>
          <w:b/>
          <w:bCs/>
          <w:sz w:val="24"/>
          <w:szCs w:val="24"/>
        </w:rPr>
        <w:t>Bastien</w:t>
      </w:r>
      <w:proofErr w:type="spellEnd"/>
      <w:r w:rsidR="008C0319" w:rsidRPr="008C0319">
        <w:rPr>
          <w:b/>
          <w:bCs/>
          <w:sz w:val="24"/>
          <w:szCs w:val="24"/>
        </w:rPr>
        <w:t xml:space="preserve"> </w:t>
      </w:r>
      <w:proofErr w:type="spellStart"/>
      <w:r w:rsidR="008C0319" w:rsidRPr="008C0319">
        <w:rPr>
          <w:b/>
          <w:bCs/>
          <w:sz w:val="24"/>
          <w:szCs w:val="24"/>
        </w:rPr>
        <w:t>Dupriez</w:t>
      </w:r>
      <w:proofErr w:type="spellEnd"/>
    </w:p>
    <w:p w14:paraId="550B50AC" w14:textId="205A9FED" w:rsidR="0088276F" w:rsidRPr="00F001A2" w:rsidRDefault="008C0319" w:rsidP="00A967B9">
      <w:pPr>
        <w:pStyle w:val="Tre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Francja</w:t>
      </w:r>
      <w:r w:rsidR="00D35CA0" w:rsidRPr="00F001A2">
        <w:rPr>
          <w:b/>
          <w:bCs/>
          <w:sz w:val="24"/>
          <w:szCs w:val="24"/>
        </w:rPr>
        <w:t xml:space="preserve"> </w:t>
      </w:r>
      <w:r w:rsidR="00A967B9" w:rsidRPr="00F001A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19</w:t>
      </w:r>
    </w:p>
    <w:p w14:paraId="2E22C0E3" w14:textId="5ABCAFEC" w:rsidR="0088276F" w:rsidRPr="00F001A2" w:rsidRDefault="0088276F" w:rsidP="00AD6040">
      <w:pPr>
        <w:pStyle w:val="TreA"/>
        <w:rPr>
          <w:sz w:val="24"/>
          <w:szCs w:val="24"/>
        </w:rPr>
      </w:pPr>
    </w:p>
    <w:bookmarkEnd w:id="0"/>
    <w:bookmarkEnd w:id="1"/>
    <w:p w14:paraId="62B560DC" w14:textId="73C87649" w:rsidR="008D1C2C" w:rsidRDefault="008C0319" w:rsidP="00D52914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„Pod koronami drzew” </w:t>
      </w:r>
      <w:proofErr w:type="spellStart"/>
      <w:r w:rsidRPr="008C0319">
        <w:rPr>
          <w:sz w:val="24"/>
          <w:szCs w:val="24"/>
        </w:rPr>
        <w:t>Bastien</w:t>
      </w:r>
      <w:r>
        <w:rPr>
          <w:sz w:val="24"/>
          <w:szCs w:val="24"/>
        </w:rPr>
        <w:t>a</w:t>
      </w:r>
      <w:proofErr w:type="spellEnd"/>
      <w:r w:rsidRPr="008C0319">
        <w:rPr>
          <w:sz w:val="24"/>
          <w:szCs w:val="24"/>
        </w:rPr>
        <w:t xml:space="preserve"> </w:t>
      </w:r>
      <w:proofErr w:type="spellStart"/>
      <w:r w:rsidRPr="008C0319">
        <w:rPr>
          <w:sz w:val="24"/>
          <w:szCs w:val="24"/>
        </w:rPr>
        <w:t>Dupriez</w:t>
      </w:r>
      <w:r w:rsidR="00A723B3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to krótkometrażowy film animowany poświęcony zagadnieniu </w:t>
      </w:r>
      <w:r>
        <w:rPr>
          <w:b/>
          <w:bCs/>
          <w:sz w:val="24"/>
          <w:szCs w:val="24"/>
        </w:rPr>
        <w:t>dewastacji środowiska naturalnego</w:t>
      </w:r>
      <w:r>
        <w:rPr>
          <w:sz w:val="24"/>
          <w:szCs w:val="24"/>
        </w:rPr>
        <w:t xml:space="preserve"> w wyniku niszczycielskiej działalności człowieka. Jest to dzieło interesujące nie tylko ze względu na wartościowe przesłanie, lecz również z powodu interesującej formy filmowej wykorzystanej przez autora. </w:t>
      </w:r>
      <w:r w:rsidR="00A723B3">
        <w:rPr>
          <w:sz w:val="24"/>
          <w:szCs w:val="24"/>
        </w:rPr>
        <w:t xml:space="preserve">Poetyka utworu nawiązuje bowiem </w:t>
      </w:r>
      <w:r w:rsidR="00523B45">
        <w:rPr>
          <w:sz w:val="24"/>
          <w:szCs w:val="24"/>
        </w:rPr>
        <w:t>d</w:t>
      </w:r>
      <w:r w:rsidR="00A723B3">
        <w:rPr>
          <w:sz w:val="24"/>
          <w:szCs w:val="24"/>
        </w:rPr>
        <w:t xml:space="preserve">o bogatego dziedzictwa </w:t>
      </w:r>
      <w:r w:rsidR="00A723B3">
        <w:rPr>
          <w:b/>
          <w:bCs/>
          <w:sz w:val="24"/>
          <w:szCs w:val="24"/>
        </w:rPr>
        <w:t>filmu abstrakcyjnego</w:t>
      </w:r>
      <w:r w:rsidR="00A723B3">
        <w:rPr>
          <w:sz w:val="24"/>
          <w:szCs w:val="24"/>
        </w:rPr>
        <w:t xml:space="preserve">. Trzeba jednak wyraźnie podkreślić, że mimo pewnych podobieństw i związków formalnych, obraz </w:t>
      </w:r>
      <w:proofErr w:type="spellStart"/>
      <w:r w:rsidR="00A723B3">
        <w:rPr>
          <w:sz w:val="24"/>
          <w:szCs w:val="24"/>
        </w:rPr>
        <w:t>Duprieza</w:t>
      </w:r>
      <w:proofErr w:type="spellEnd"/>
      <w:r w:rsidR="00A723B3">
        <w:rPr>
          <w:sz w:val="24"/>
          <w:szCs w:val="24"/>
        </w:rPr>
        <w:t xml:space="preserve"> nie wypełnia podstawowych wymogów stawianych tej kategorii filmów. </w:t>
      </w:r>
    </w:p>
    <w:p w14:paraId="45682528" w14:textId="4766555C" w:rsidR="00A723B3" w:rsidRDefault="00A723B3" w:rsidP="00D52914">
      <w:pPr>
        <w:pStyle w:val="TreA"/>
        <w:jc w:val="both"/>
        <w:rPr>
          <w:sz w:val="24"/>
          <w:szCs w:val="24"/>
        </w:rPr>
      </w:pPr>
    </w:p>
    <w:p w14:paraId="3676C5AC" w14:textId="6DF28F82" w:rsidR="006F587A" w:rsidRDefault="00A723B3" w:rsidP="006F587A">
      <w:pPr>
        <w:pStyle w:val="TreA"/>
        <w:jc w:val="both"/>
        <w:rPr>
          <w:sz w:val="24"/>
          <w:szCs w:val="24"/>
        </w:rPr>
      </w:pPr>
      <w:r w:rsidRPr="008B1AEC">
        <w:rPr>
          <w:sz w:val="24"/>
          <w:szCs w:val="24"/>
        </w:rPr>
        <w:t>Filmem abstrakcyjnym zwykło się bowiem określać dzieła wpisujące się w rozwijaną od lat dwudziestych XX wieku niefiguratywn</w:t>
      </w:r>
      <w:r w:rsidR="008B1AEC" w:rsidRPr="008B1AEC">
        <w:rPr>
          <w:sz w:val="24"/>
          <w:szCs w:val="24"/>
        </w:rPr>
        <w:t>ą</w:t>
      </w:r>
      <w:r w:rsidRPr="008B1AEC">
        <w:rPr>
          <w:sz w:val="24"/>
          <w:szCs w:val="24"/>
        </w:rPr>
        <w:t xml:space="preserve"> odmian</w:t>
      </w:r>
      <w:r w:rsidR="008B1AEC" w:rsidRPr="008B1AEC">
        <w:rPr>
          <w:sz w:val="24"/>
          <w:szCs w:val="24"/>
        </w:rPr>
        <w:t>ę</w:t>
      </w:r>
      <w:r w:rsidRPr="008B1AEC">
        <w:rPr>
          <w:sz w:val="24"/>
          <w:szCs w:val="24"/>
        </w:rPr>
        <w:t xml:space="preserve"> twórczości filmowej</w:t>
      </w:r>
      <w:r w:rsidR="008B1AEC" w:rsidRPr="008B1AEC">
        <w:rPr>
          <w:sz w:val="24"/>
          <w:szCs w:val="24"/>
        </w:rPr>
        <w:t xml:space="preserve">. </w:t>
      </w:r>
      <w:r w:rsidR="008B1AEC">
        <w:rPr>
          <w:sz w:val="24"/>
          <w:szCs w:val="24"/>
        </w:rPr>
        <w:t xml:space="preserve">Obrazy tego nurtu na pierwszym planie eksponowały </w:t>
      </w:r>
      <w:r w:rsidR="008B1AEC" w:rsidRPr="008B1AEC">
        <w:rPr>
          <w:sz w:val="24"/>
          <w:szCs w:val="24"/>
        </w:rPr>
        <w:t>gr</w:t>
      </w:r>
      <w:r w:rsidR="008B1AEC" w:rsidRPr="008B1AEC">
        <w:rPr>
          <w:rFonts w:hint="cs"/>
          <w:sz w:val="24"/>
          <w:szCs w:val="24"/>
        </w:rPr>
        <w:t>ę</w:t>
      </w:r>
      <w:r w:rsidR="008B1AEC" w:rsidRPr="008B1AEC">
        <w:rPr>
          <w:sz w:val="24"/>
          <w:szCs w:val="24"/>
        </w:rPr>
        <w:t xml:space="preserve"> ruchomych form wizualnych b</w:t>
      </w:r>
      <w:r w:rsidR="008B1AEC" w:rsidRPr="008B1AEC">
        <w:rPr>
          <w:rFonts w:hint="cs"/>
          <w:sz w:val="24"/>
          <w:szCs w:val="24"/>
        </w:rPr>
        <w:t>ą</w:t>
      </w:r>
      <w:r w:rsidR="008B1AEC" w:rsidRPr="008B1AEC">
        <w:rPr>
          <w:sz w:val="24"/>
          <w:szCs w:val="24"/>
        </w:rPr>
        <w:t>d</w:t>
      </w:r>
      <w:r w:rsidR="008B1AEC" w:rsidRPr="008B1AEC">
        <w:rPr>
          <w:rFonts w:hint="cs"/>
          <w:sz w:val="24"/>
          <w:szCs w:val="24"/>
        </w:rPr>
        <w:t>ź</w:t>
      </w:r>
      <w:r w:rsidR="008B1AEC" w:rsidRPr="008B1AEC">
        <w:rPr>
          <w:sz w:val="24"/>
          <w:szCs w:val="24"/>
        </w:rPr>
        <w:t xml:space="preserve"> obrazowo</w:t>
      </w:r>
      <w:r w:rsidR="008B1AEC">
        <w:rPr>
          <w:sz w:val="24"/>
          <w:szCs w:val="24"/>
        </w:rPr>
        <w:t>-</w:t>
      </w:r>
      <w:r w:rsidR="008B1AEC" w:rsidRPr="008B1AEC">
        <w:rPr>
          <w:sz w:val="24"/>
          <w:szCs w:val="24"/>
        </w:rPr>
        <w:t>d</w:t>
      </w:r>
      <w:r w:rsidR="008B1AEC" w:rsidRPr="008B1AEC">
        <w:rPr>
          <w:rFonts w:hint="cs"/>
          <w:sz w:val="24"/>
          <w:szCs w:val="24"/>
        </w:rPr>
        <w:t>ź</w:t>
      </w:r>
      <w:r w:rsidR="008B1AEC" w:rsidRPr="008B1AEC">
        <w:rPr>
          <w:sz w:val="24"/>
          <w:szCs w:val="24"/>
        </w:rPr>
        <w:t>wi</w:t>
      </w:r>
      <w:r w:rsidR="008B1AEC" w:rsidRPr="008B1AEC">
        <w:rPr>
          <w:rFonts w:hint="cs"/>
          <w:sz w:val="24"/>
          <w:szCs w:val="24"/>
        </w:rPr>
        <w:t>ę</w:t>
      </w:r>
      <w:r w:rsidR="008B1AEC" w:rsidRPr="008B1AEC">
        <w:rPr>
          <w:sz w:val="24"/>
          <w:szCs w:val="24"/>
        </w:rPr>
        <w:t>kowych maj</w:t>
      </w:r>
      <w:r w:rsidR="008B1AEC" w:rsidRPr="008B1AEC">
        <w:rPr>
          <w:rFonts w:hint="cs"/>
          <w:sz w:val="24"/>
          <w:szCs w:val="24"/>
        </w:rPr>
        <w:t>ą</w:t>
      </w:r>
      <w:r w:rsidR="008B1AEC" w:rsidRPr="008B1AEC">
        <w:rPr>
          <w:sz w:val="24"/>
          <w:szCs w:val="24"/>
        </w:rPr>
        <w:t>cych charakter</w:t>
      </w:r>
      <w:r w:rsidR="008B1AEC">
        <w:rPr>
          <w:sz w:val="24"/>
          <w:szCs w:val="24"/>
        </w:rPr>
        <w:t xml:space="preserve"> afabularny. Intencją ich twórców była ucieczka od realnego świata na rzecz ekspresyjnych formuł odżegnujących się od najmniejszych prób mimetyzmu. Jednym z możliwych sposobów osiągnięcia tego celu, była realizacj</w:t>
      </w:r>
      <w:r w:rsidR="00523B45">
        <w:rPr>
          <w:sz w:val="24"/>
          <w:szCs w:val="24"/>
        </w:rPr>
        <w:t>a</w:t>
      </w:r>
      <w:r w:rsidR="008B1AEC">
        <w:rPr>
          <w:sz w:val="24"/>
          <w:szCs w:val="24"/>
        </w:rPr>
        <w:t xml:space="preserve"> filmów opartych na </w:t>
      </w:r>
      <w:r w:rsidR="006F587A">
        <w:rPr>
          <w:sz w:val="24"/>
          <w:szCs w:val="24"/>
        </w:rPr>
        <w:t>kreacji</w:t>
      </w:r>
      <w:r w:rsidR="008B1AEC">
        <w:rPr>
          <w:sz w:val="24"/>
          <w:szCs w:val="24"/>
        </w:rPr>
        <w:t xml:space="preserve"> </w:t>
      </w:r>
      <w:r w:rsidR="008B1AEC" w:rsidRPr="008B1AEC">
        <w:rPr>
          <w:sz w:val="24"/>
          <w:szCs w:val="24"/>
        </w:rPr>
        <w:t xml:space="preserve">abstrakcyjnych kompozycji </w:t>
      </w:r>
      <w:r w:rsidR="006F587A">
        <w:rPr>
          <w:sz w:val="24"/>
          <w:szCs w:val="24"/>
        </w:rPr>
        <w:t>wizualnych dopuszczających</w:t>
      </w:r>
      <w:r w:rsidR="006F587A" w:rsidRPr="006F587A">
        <w:rPr>
          <w:sz w:val="24"/>
          <w:szCs w:val="24"/>
        </w:rPr>
        <w:t xml:space="preserve"> niezwykle szerokie ramy interpretacyjne</w:t>
      </w:r>
      <w:r w:rsidR="006F587A">
        <w:rPr>
          <w:sz w:val="24"/>
          <w:szCs w:val="24"/>
        </w:rPr>
        <w:t>.</w:t>
      </w:r>
    </w:p>
    <w:p w14:paraId="190DAD71" w14:textId="3CC37F59" w:rsidR="006F587A" w:rsidRDefault="006F587A" w:rsidP="006F587A">
      <w:pPr>
        <w:pStyle w:val="TreA"/>
        <w:jc w:val="both"/>
        <w:rPr>
          <w:sz w:val="24"/>
          <w:szCs w:val="24"/>
        </w:rPr>
      </w:pPr>
    </w:p>
    <w:p w14:paraId="32F9551F" w14:textId="24F7D1DC" w:rsidR="006F587A" w:rsidRDefault="006F587A" w:rsidP="006F587A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>Już pobieżna lektura „Pod koronami drzew” pozwala postawić tezę, że pomimo iż niemała cz</w:t>
      </w:r>
      <w:r w:rsidR="00523B45">
        <w:rPr>
          <w:sz w:val="24"/>
          <w:szCs w:val="24"/>
        </w:rPr>
        <w:t>ę</w:t>
      </w:r>
      <w:r>
        <w:rPr>
          <w:sz w:val="24"/>
          <w:szCs w:val="24"/>
        </w:rPr>
        <w:t>ść filmu oparta została o abstrakcyjne, wielobarwne, geometryczne kompozycje,</w:t>
      </w:r>
      <w:r w:rsidR="00523B45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całoś</w:t>
      </w:r>
      <w:r w:rsidR="00523B45">
        <w:rPr>
          <w:sz w:val="24"/>
          <w:szCs w:val="24"/>
        </w:rPr>
        <w:t>ć</w:t>
      </w:r>
      <w:r>
        <w:rPr>
          <w:sz w:val="24"/>
          <w:szCs w:val="24"/>
        </w:rPr>
        <w:t xml:space="preserve"> utworu </w:t>
      </w:r>
      <w:r w:rsidRPr="00EB4EDA">
        <w:rPr>
          <w:b/>
          <w:bCs/>
          <w:sz w:val="24"/>
          <w:szCs w:val="24"/>
        </w:rPr>
        <w:t>nie wpasowuje się w definicję filmu abstrakcyjnego</w:t>
      </w:r>
      <w:r>
        <w:rPr>
          <w:sz w:val="24"/>
          <w:szCs w:val="24"/>
        </w:rPr>
        <w:t>. Dzieje się tak z dwóch powodów:</w:t>
      </w:r>
    </w:p>
    <w:p w14:paraId="29BCBD2A" w14:textId="48B1BD76" w:rsidR="006F587A" w:rsidRDefault="006F587A" w:rsidP="006F587A">
      <w:pPr>
        <w:pStyle w:val="TreA"/>
        <w:jc w:val="both"/>
        <w:rPr>
          <w:sz w:val="24"/>
          <w:szCs w:val="24"/>
        </w:rPr>
      </w:pPr>
    </w:p>
    <w:p w14:paraId="638FE497" w14:textId="77777777" w:rsidR="006F587A" w:rsidRDefault="006F587A" w:rsidP="006F587A">
      <w:pPr>
        <w:pStyle w:val="TreA"/>
        <w:numPr>
          <w:ilvl w:val="0"/>
          <w:numId w:val="31"/>
        </w:numPr>
        <w:jc w:val="both"/>
        <w:rPr>
          <w:sz w:val="24"/>
          <w:szCs w:val="24"/>
        </w:rPr>
      </w:pPr>
      <w:r w:rsidRPr="006F587A">
        <w:rPr>
          <w:b/>
          <w:bCs/>
          <w:sz w:val="24"/>
          <w:szCs w:val="24"/>
        </w:rPr>
        <w:t>Film nie rezygnuje z przedstawień figuratywnych i nie ucieka od odniesień do rzeczywistego świata</w:t>
      </w:r>
      <w:r>
        <w:rPr>
          <w:sz w:val="24"/>
          <w:szCs w:val="24"/>
        </w:rPr>
        <w:t>.</w:t>
      </w:r>
    </w:p>
    <w:p w14:paraId="65BE4376" w14:textId="7E72C397" w:rsidR="006F587A" w:rsidRDefault="004D18EC" w:rsidP="006F587A">
      <w:pPr>
        <w:pStyle w:val="Tre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[Przykładowe uzasadnienie: </w:t>
      </w:r>
      <w:r w:rsidR="006F587A">
        <w:rPr>
          <w:sz w:val="24"/>
          <w:szCs w:val="24"/>
        </w:rPr>
        <w:t>W początkowej fazie filmu geometryczne figury układają się w kształt rajskich ptaków, w późniejszych ujęciach horyzontalne linie układają się w drzewa i kreślą zarysy sylwetek ludzkich.</w:t>
      </w:r>
      <w:r>
        <w:rPr>
          <w:sz w:val="24"/>
          <w:szCs w:val="24"/>
        </w:rPr>
        <w:t>]</w:t>
      </w:r>
    </w:p>
    <w:p w14:paraId="1FD221FA" w14:textId="77777777" w:rsidR="006F587A" w:rsidRDefault="006F587A" w:rsidP="006F587A">
      <w:pPr>
        <w:pStyle w:val="TreA"/>
        <w:ind w:left="720"/>
        <w:jc w:val="both"/>
        <w:rPr>
          <w:sz w:val="24"/>
          <w:szCs w:val="24"/>
        </w:rPr>
      </w:pPr>
    </w:p>
    <w:p w14:paraId="48905151" w14:textId="144D386E" w:rsidR="006F587A" w:rsidRDefault="004D18EC" w:rsidP="006F587A">
      <w:pPr>
        <w:pStyle w:val="TreA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Omawiany film jest bez wątpienia niepozbawionym fabuły dziełem narracyjnym. </w:t>
      </w:r>
    </w:p>
    <w:p w14:paraId="7C75A6E3" w14:textId="32B5756F" w:rsidR="006F587A" w:rsidRDefault="004D18EC" w:rsidP="006F587A">
      <w:pPr>
        <w:pStyle w:val="Tre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[Przykładowe uzasadnienie: Pomimo swojego narracyjnego minimalizmu utwór opowiada historię, w której wyróżnić możemy wstęp (długa sekwencja wprowadzająca), rozwinięcie (wyraźny wzrost napięcia narracyjnego) i zakończenie (wieńcząca film sekwencja).</w:t>
      </w:r>
    </w:p>
    <w:p w14:paraId="190FCA87" w14:textId="0DD969A0" w:rsidR="004D18EC" w:rsidRDefault="004D18EC" w:rsidP="004D18EC">
      <w:pPr>
        <w:pStyle w:val="TreA"/>
        <w:jc w:val="both"/>
        <w:rPr>
          <w:sz w:val="24"/>
          <w:szCs w:val="24"/>
        </w:rPr>
      </w:pPr>
    </w:p>
    <w:p w14:paraId="68B5C4A9" w14:textId="1AD65B69" w:rsidR="004D18EC" w:rsidRDefault="004D18EC" w:rsidP="004D18EC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Szczegółową interpretację filmu najlepiej poprzedzić </w:t>
      </w:r>
      <w:r w:rsidR="003A19CC">
        <w:rPr>
          <w:sz w:val="24"/>
          <w:szCs w:val="24"/>
        </w:rPr>
        <w:t xml:space="preserve">schematycznym </w:t>
      </w:r>
      <w:r>
        <w:rPr>
          <w:sz w:val="24"/>
          <w:szCs w:val="24"/>
        </w:rPr>
        <w:t xml:space="preserve">rozpisaniem jego </w:t>
      </w:r>
      <w:r w:rsidRPr="003A19CC">
        <w:rPr>
          <w:b/>
          <w:bCs/>
          <w:sz w:val="24"/>
          <w:szCs w:val="24"/>
        </w:rPr>
        <w:t>struktury narracyjnej</w:t>
      </w:r>
      <w:r>
        <w:rPr>
          <w:sz w:val="24"/>
          <w:szCs w:val="24"/>
        </w:rPr>
        <w:t xml:space="preserve">. </w:t>
      </w:r>
      <w:r w:rsidR="003A19CC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„Pod koronami drzew” wyróżnić możemy bowiem trzy wyraźnie odrębne sekwencje </w:t>
      </w:r>
      <w:r w:rsidR="005C15F7">
        <w:rPr>
          <w:sz w:val="24"/>
          <w:szCs w:val="24"/>
        </w:rPr>
        <w:t xml:space="preserve">odbiegające </w:t>
      </w:r>
      <w:r>
        <w:rPr>
          <w:sz w:val="24"/>
          <w:szCs w:val="24"/>
        </w:rPr>
        <w:t>od siebie</w:t>
      </w:r>
      <w:r w:rsidR="005C15F7">
        <w:rPr>
          <w:sz w:val="24"/>
          <w:szCs w:val="24"/>
        </w:rPr>
        <w:t xml:space="preserve"> pod względem zawartego</w:t>
      </w:r>
      <w:r>
        <w:rPr>
          <w:sz w:val="24"/>
          <w:szCs w:val="24"/>
        </w:rPr>
        <w:t xml:space="preserve"> ładunk</w:t>
      </w:r>
      <w:r w:rsidR="005C15F7">
        <w:rPr>
          <w:sz w:val="24"/>
          <w:szCs w:val="24"/>
        </w:rPr>
        <w:t>u</w:t>
      </w:r>
      <w:r>
        <w:rPr>
          <w:sz w:val="24"/>
          <w:szCs w:val="24"/>
        </w:rPr>
        <w:t xml:space="preserve"> emocjonaln</w:t>
      </w:r>
      <w:r w:rsidR="005C15F7">
        <w:rPr>
          <w:sz w:val="24"/>
          <w:szCs w:val="24"/>
        </w:rPr>
        <w:t>ego,</w:t>
      </w:r>
      <w:r>
        <w:rPr>
          <w:sz w:val="24"/>
          <w:szCs w:val="24"/>
        </w:rPr>
        <w:t xml:space="preserve"> temp</w:t>
      </w:r>
      <w:r w:rsidR="005C15F7">
        <w:rPr>
          <w:sz w:val="24"/>
          <w:szCs w:val="24"/>
        </w:rPr>
        <w:t>a</w:t>
      </w:r>
      <w:r w:rsidR="003A19CC">
        <w:rPr>
          <w:sz w:val="24"/>
          <w:szCs w:val="24"/>
        </w:rPr>
        <w:t xml:space="preserve"> i kolorystyk</w:t>
      </w:r>
      <w:r w:rsidR="005C15F7">
        <w:rPr>
          <w:sz w:val="24"/>
          <w:szCs w:val="24"/>
        </w:rPr>
        <w:t>i.</w:t>
      </w:r>
    </w:p>
    <w:p w14:paraId="5844C2E7" w14:textId="60F5F341" w:rsidR="003A19CC" w:rsidRDefault="003A19CC" w:rsidP="004D18EC">
      <w:pPr>
        <w:pStyle w:val="TreA"/>
        <w:jc w:val="both"/>
        <w:rPr>
          <w:sz w:val="24"/>
          <w:szCs w:val="24"/>
        </w:rPr>
      </w:pPr>
    </w:p>
    <w:p w14:paraId="5681EE90" w14:textId="47581F0E" w:rsidR="003A19CC" w:rsidRPr="003A19CC" w:rsidRDefault="003A19CC" w:rsidP="003A19CC">
      <w:pPr>
        <w:pStyle w:val="TreA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Sekwencja nr 1</w:t>
      </w:r>
    </w:p>
    <w:p w14:paraId="1AAC485C" w14:textId="66106430" w:rsidR="003A19CC" w:rsidRPr="003A19CC" w:rsidRDefault="003A19CC" w:rsidP="003A19CC">
      <w:pPr>
        <w:pStyle w:val="Tre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Rozpoczyna ją kilka ujęć przedstawiających </w:t>
      </w:r>
      <w:r w:rsidR="00EB4EDA">
        <w:rPr>
          <w:sz w:val="24"/>
          <w:szCs w:val="24"/>
        </w:rPr>
        <w:t xml:space="preserve">ukazane na jasnym tle </w:t>
      </w:r>
      <w:r>
        <w:rPr>
          <w:sz w:val="24"/>
          <w:szCs w:val="24"/>
        </w:rPr>
        <w:t>sylwetki rajskich ptaków. Wraz z postępującym wzrostem tempa</w:t>
      </w:r>
      <w:r w:rsidR="00EB4EDA">
        <w:rPr>
          <w:sz w:val="24"/>
          <w:szCs w:val="24"/>
        </w:rPr>
        <w:t xml:space="preserve"> pogodnej</w:t>
      </w:r>
      <w:r>
        <w:rPr>
          <w:sz w:val="24"/>
          <w:szCs w:val="24"/>
        </w:rPr>
        <w:t xml:space="preserve"> diegetycznej muzyki, ekran wypełnia się abstrakcyjnymi ujęciami utrzym</w:t>
      </w:r>
      <w:r w:rsidR="00EB4EDA">
        <w:rPr>
          <w:sz w:val="24"/>
          <w:szCs w:val="24"/>
        </w:rPr>
        <w:t xml:space="preserve">anymi w wyrazistych </w:t>
      </w:r>
      <w:r w:rsidR="00EB4EDA">
        <w:rPr>
          <w:sz w:val="24"/>
          <w:szCs w:val="24"/>
        </w:rPr>
        <w:lastRenderedPageBreak/>
        <w:t xml:space="preserve">kontrastowych kolorach. Sekwencja gwałtownie kończy się w ok. 2/3 trwania filmu, gdy </w:t>
      </w:r>
      <w:r w:rsidR="00EB4EDA" w:rsidRPr="00EB4EDA">
        <w:rPr>
          <w:sz w:val="24"/>
          <w:szCs w:val="24"/>
        </w:rPr>
        <w:t>feeria</w:t>
      </w:r>
      <w:r w:rsidR="00EB4EDA">
        <w:rPr>
          <w:sz w:val="24"/>
          <w:szCs w:val="24"/>
        </w:rPr>
        <w:t xml:space="preserve"> żywych barw zastąpiona zostaje czarną planszą.  </w:t>
      </w:r>
    </w:p>
    <w:p w14:paraId="00549595" w14:textId="63A8FD12" w:rsidR="008D1C2C" w:rsidRDefault="008D1C2C" w:rsidP="008D1C2C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7317A4E6" w14:textId="51C134CF" w:rsidR="004D18EC" w:rsidRPr="00EB4EDA" w:rsidRDefault="00EB4EDA" w:rsidP="006A294E">
      <w:pPr>
        <w:pStyle w:val="TreA"/>
        <w:numPr>
          <w:ilvl w:val="0"/>
          <w:numId w:val="31"/>
        </w:numPr>
        <w:jc w:val="both"/>
        <w:rPr>
          <w:b/>
          <w:bCs/>
          <w:sz w:val="24"/>
          <w:szCs w:val="24"/>
          <w:u w:val="single"/>
        </w:rPr>
      </w:pPr>
      <w:r w:rsidRPr="00EB4EDA">
        <w:rPr>
          <w:b/>
          <w:bCs/>
          <w:sz w:val="24"/>
          <w:szCs w:val="24"/>
        </w:rPr>
        <w:t xml:space="preserve">Sekwencja nr </w:t>
      </w:r>
      <w:r>
        <w:rPr>
          <w:b/>
          <w:bCs/>
          <w:sz w:val="24"/>
          <w:szCs w:val="24"/>
        </w:rPr>
        <w:t>2</w:t>
      </w:r>
    </w:p>
    <w:p w14:paraId="7C13D385" w14:textId="5F21A22E" w:rsidR="00EB4EDA" w:rsidRDefault="00EB4EDA" w:rsidP="00EB4EDA">
      <w:pPr>
        <w:pStyle w:val="Tre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5C15F7">
        <w:rPr>
          <w:sz w:val="24"/>
          <w:szCs w:val="24"/>
        </w:rPr>
        <w:t>odróżnieniu</w:t>
      </w:r>
      <w:r>
        <w:rPr>
          <w:sz w:val="24"/>
          <w:szCs w:val="24"/>
        </w:rPr>
        <w:t xml:space="preserve"> </w:t>
      </w:r>
      <w:r w:rsidR="005C15F7">
        <w:rPr>
          <w:sz w:val="24"/>
          <w:szCs w:val="24"/>
        </w:rPr>
        <w:t>od</w:t>
      </w:r>
      <w:r>
        <w:rPr>
          <w:sz w:val="24"/>
          <w:szCs w:val="24"/>
        </w:rPr>
        <w:t xml:space="preserve"> ujęć rozpoczynających wcześniejszą sekwencję, kolejną otwierają obrazy chaotycznie zarysowanych ludzkich sylwetek ukazanych na mrocznym tle. W rytm coraz bardziej niepokojącej muzyki</w:t>
      </w:r>
      <w:r w:rsidR="00644820">
        <w:rPr>
          <w:sz w:val="24"/>
          <w:szCs w:val="24"/>
        </w:rPr>
        <w:t xml:space="preserve"> imitującej dźwięk piły mechanicznej</w:t>
      </w:r>
      <w:r w:rsidR="005C15F7">
        <w:rPr>
          <w:sz w:val="24"/>
          <w:szCs w:val="24"/>
        </w:rPr>
        <w:t>,</w:t>
      </w:r>
      <w:r w:rsidR="00644820">
        <w:rPr>
          <w:sz w:val="24"/>
          <w:szCs w:val="24"/>
        </w:rPr>
        <w:t xml:space="preserve"> ekran stopniowo wypełniają ciepłe kolory przywodzące na myśl </w:t>
      </w:r>
      <w:r w:rsidR="00AB739B">
        <w:rPr>
          <w:sz w:val="24"/>
          <w:szCs w:val="24"/>
        </w:rPr>
        <w:t>barwy</w:t>
      </w:r>
      <w:r w:rsidR="00644820">
        <w:rPr>
          <w:sz w:val="24"/>
          <w:szCs w:val="24"/>
        </w:rPr>
        <w:t xml:space="preserve"> ognia. Następuje </w:t>
      </w:r>
      <w:r w:rsidR="00AB739B">
        <w:rPr>
          <w:sz w:val="24"/>
          <w:szCs w:val="24"/>
        </w:rPr>
        <w:t>druga</w:t>
      </w:r>
      <w:r w:rsidR="00644820">
        <w:rPr>
          <w:sz w:val="24"/>
          <w:szCs w:val="24"/>
        </w:rPr>
        <w:t xml:space="preserve"> seria abstrakcyjnych ujęć, tym razem jednak o wiele bardziej bezładnych i oszczędnych kolorystycznie (dominują czerwień, pomarańcz i czerń).</w:t>
      </w:r>
    </w:p>
    <w:p w14:paraId="0ECA1490" w14:textId="79838258" w:rsidR="00AB739B" w:rsidRDefault="00AB739B" w:rsidP="00EB4EDA">
      <w:pPr>
        <w:pStyle w:val="TreA"/>
        <w:ind w:left="720"/>
        <w:jc w:val="both"/>
        <w:rPr>
          <w:sz w:val="24"/>
          <w:szCs w:val="24"/>
        </w:rPr>
      </w:pPr>
    </w:p>
    <w:p w14:paraId="452C665A" w14:textId="06AE6541" w:rsidR="00AB739B" w:rsidRPr="00AB739B" w:rsidRDefault="00AB739B" w:rsidP="00AB739B">
      <w:pPr>
        <w:pStyle w:val="TreA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Sekwencja nr 3</w:t>
      </w:r>
    </w:p>
    <w:p w14:paraId="6B6F2396" w14:textId="2147BEDB" w:rsidR="00AB739B" w:rsidRDefault="00AB739B" w:rsidP="00AB739B">
      <w:pPr>
        <w:pStyle w:val="TreA"/>
        <w:ind w:left="720"/>
        <w:jc w:val="both"/>
        <w:rPr>
          <w:sz w:val="24"/>
          <w:szCs w:val="24"/>
        </w:rPr>
      </w:pPr>
      <w:r w:rsidRPr="00AB739B">
        <w:rPr>
          <w:sz w:val="24"/>
          <w:szCs w:val="24"/>
        </w:rPr>
        <w:t xml:space="preserve">Ostatnia, najkrótsza sekwencja rozpoczyna się uspokojeniem rytmu muzyki. Obraz stopniowo rozjaśnia się, aż oczom widzów ukazuje się jasna plansza utrzymana w </w:t>
      </w:r>
      <w:r>
        <w:rPr>
          <w:sz w:val="24"/>
          <w:szCs w:val="24"/>
        </w:rPr>
        <w:t>odcieniach bieli, szarości i czerni. Muzyka stopniowo cichnie.</w:t>
      </w:r>
    </w:p>
    <w:p w14:paraId="5B5BB8F3" w14:textId="68D33BA9" w:rsidR="00AB739B" w:rsidRDefault="00AB739B" w:rsidP="00AB739B">
      <w:pPr>
        <w:pStyle w:val="TreA"/>
        <w:jc w:val="both"/>
        <w:rPr>
          <w:sz w:val="24"/>
          <w:szCs w:val="24"/>
        </w:rPr>
      </w:pPr>
    </w:p>
    <w:p w14:paraId="23C172D6" w14:textId="6F49C42B" w:rsidR="00523B45" w:rsidRDefault="00AB739B" w:rsidP="00523B45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Przytoczony wyżej </w:t>
      </w:r>
      <w:r w:rsidRPr="00523B45">
        <w:rPr>
          <w:b/>
          <w:bCs/>
          <w:sz w:val="24"/>
          <w:szCs w:val="24"/>
        </w:rPr>
        <w:t>porządek narracyjny układa się w czytelną historię</w:t>
      </w:r>
      <w:r w:rsidR="007733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23B45">
        <w:rPr>
          <w:sz w:val="24"/>
          <w:szCs w:val="24"/>
        </w:rPr>
        <w:t xml:space="preserve">Pierwsza z </w:t>
      </w:r>
      <w:r w:rsidR="005C15F7">
        <w:rPr>
          <w:sz w:val="24"/>
          <w:szCs w:val="24"/>
        </w:rPr>
        <w:t>w</w:t>
      </w:r>
      <w:r w:rsidR="00523B45">
        <w:rPr>
          <w:sz w:val="24"/>
          <w:szCs w:val="24"/>
        </w:rPr>
        <w:t xml:space="preserve">yróżnionych sekwencji pełni rolę ekspozycji przedstawiającej nam barwny świat natury. Dzięki abstrakcyjnym ujęciom i pogodnej muzyce przyroda jawi się jako siła niezwykle witalna, nieprzewidywalna, wciąż skora do przyjmowania nowych nieoczywistych form. Sekwencja druga z całą surowością ukazuje natomiast niszczycielski potencjał ludzkiej działalności – człowiek niesie ze sobą pożar i zniszczenie środowiska. Obraz ten zostaje z całą mocą uwiarygodniony w sekwencji trzeciej, w której barwny niegdyś świat zamienia się w czarno-białą pustynię. </w:t>
      </w:r>
    </w:p>
    <w:p w14:paraId="4F5F44A6" w14:textId="77777777" w:rsidR="00523B45" w:rsidRDefault="00523B45" w:rsidP="00523B45">
      <w:pPr>
        <w:pStyle w:val="TreA"/>
        <w:ind w:left="720"/>
        <w:jc w:val="both"/>
        <w:rPr>
          <w:sz w:val="24"/>
          <w:szCs w:val="24"/>
        </w:rPr>
      </w:pPr>
    </w:p>
    <w:p w14:paraId="36C3F5D3" w14:textId="1E5CE89B" w:rsidR="00773378" w:rsidRDefault="00523B45" w:rsidP="00523B45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>Warto w tym miejscu podkreślić, że k</w:t>
      </w:r>
      <w:r w:rsidR="00773378">
        <w:rPr>
          <w:sz w:val="24"/>
          <w:szCs w:val="24"/>
        </w:rPr>
        <w:t>olejne wydarzenia i zmiany zachodzące w świecie przedstawionym nie zosta</w:t>
      </w:r>
      <w:r>
        <w:rPr>
          <w:sz w:val="24"/>
          <w:szCs w:val="24"/>
        </w:rPr>
        <w:t xml:space="preserve">ły </w:t>
      </w:r>
      <w:r w:rsidR="005C15F7">
        <w:rPr>
          <w:sz w:val="24"/>
          <w:szCs w:val="24"/>
        </w:rPr>
        <w:t>ukazane</w:t>
      </w:r>
      <w:r w:rsidR="00773378">
        <w:rPr>
          <w:sz w:val="24"/>
          <w:szCs w:val="24"/>
        </w:rPr>
        <w:t xml:space="preserve"> wprost. </w:t>
      </w:r>
      <w:r>
        <w:rPr>
          <w:sz w:val="24"/>
          <w:szCs w:val="24"/>
        </w:rPr>
        <w:t>Autor wykorzystuj</w:t>
      </w:r>
      <w:r w:rsidR="005C15F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523B45">
        <w:rPr>
          <w:b/>
          <w:bCs/>
          <w:sz w:val="24"/>
          <w:szCs w:val="24"/>
        </w:rPr>
        <w:t>dramaturgiczny potencjał barw i muzyki</w:t>
      </w:r>
      <w:r>
        <w:rPr>
          <w:sz w:val="24"/>
          <w:szCs w:val="24"/>
        </w:rPr>
        <w:t>, by krok po kr</w:t>
      </w:r>
      <w:r w:rsidR="005C15F7">
        <w:rPr>
          <w:sz w:val="24"/>
          <w:szCs w:val="24"/>
        </w:rPr>
        <w:t>o</w:t>
      </w:r>
      <w:r>
        <w:rPr>
          <w:sz w:val="24"/>
          <w:szCs w:val="24"/>
        </w:rPr>
        <w:t>ku przeprowadz</w:t>
      </w:r>
      <w:r w:rsidR="005C15F7">
        <w:rPr>
          <w:sz w:val="24"/>
          <w:szCs w:val="24"/>
        </w:rPr>
        <w:t>ić</w:t>
      </w:r>
      <w:r>
        <w:rPr>
          <w:sz w:val="24"/>
          <w:szCs w:val="24"/>
        </w:rPr>
        <w:t xml:space="preserve"> widzów przez wszystkie kluczowe momenty opowieści</w:t>
      </w:r>
      <w:r w:rsidR="005C15F7">
        <w:rPr>
          <w:sz w:val="24"/>
          <w:szCs w:val="24"/>
        </w:rPr>
        <w:t>,</w:t>
      </w:r>
      <w:r>
        <w:rPr>
          <w:sz w:val="24"/>
          <w:szCs w:val="24"/>
        </w:rPr>
        <w:t xml:space="preserve"> do minimum ograniczając wszelkie dosłowności. „Pod koronami drzew” to bowiem film, który oddziałuje na odbiorców przede wszystkim na poziomie emocjonalnym, tradycyjnie rozumianą fabułę lokując na dalszym planie. </w:t>
      </w:r>
    </w:p>
    <w:p w14:paraId="6D0BF40B" w14:textId="77777777" w:rsidR="00EB4EDA" w:rsidRDefault="00EB4EDA" w:rsidP="008D1C2C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15A90548" w14:textId="77777777" w:rsidR="00EB4EDA" w:rsidRDefault="00EB4EDA" w:rsidP="008D1C2C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2A18D51A" w14:textId="7E9E301F" w:rsidR="008D1C2C" w:rsidRPr="00472241" w:rsidRDefault="008D1C2C" w:rsidP="008D1C2C">
      <w:pPr>
        <w:pStyle w:val="TreA"/>
        <w:jc w:val="both"/>
        <w:rPr>
          <w:b/>
          <w:bCs/>
          <w:sz w:val="24"/>
          <w:szCs w:val="24"/>
          <w:u w:val="single"/>
        </w:rPr>
      </w:pPr>
      <w:r w:rsidRPr="00472241">
        <w:rPr>
          <w:b/>
          <w:bCs/>
          <w:sz w:val="24"/>
          <w:szCs w:val="24"/>
          <w:u w:val="single"/>
        </w:rPr>
        <w:t>Materiały dodatkowe:</w:t>
      </w:r>
    </w:p>
    <w:p w14:paraId="5999E9CE" w14:textId="77777777" w:rsidR="009A39DC" w:rsidRPr="00472241" w:rsidRDefault="009A39DC" w:rsidP="00841A44">
      <w:pPr>
        <w:pStyle w:val="TreA"/>
        <w:ind w:left="720"/>
        <w:jc w:val="both"/>
        <w:rPr>
          <w:sz w:val="24"/>
          <w:szCs w:val="24"/>
        </w:rPr>
      </w:pPr>
    </w:p>
    <w:p w14:paraId="6A4C4F46" w14:textId="77777777" w:rsidR="004D18EC" w:rsidRPr="0014256B" w:rsidRDefault="004D18EC" w:rsidP="004D18EC">
      <w:pPr>
        <w:pStyle w:val="TreA"/>
        <w:numPr>
          <w:ilvl w:val="0"/>
          <w:numId w:val="23"/>
        </w:numPr>
        <w:spacing w:after="240"/>
        <w:jc w:val="both"/>
        <w:rPr>
          <w:sz w:val="24"/>
          <w:szCs w:val="24"/>
        </w:rPr>
      </w:pPr>
      <w:proofErr w:type="spellStart"/>
      <w:r w:rsidRPr="0014256B">
        <w:rPr>
          <w:sz w:val="24"/>
          <w:szCs w:val="24"/>
        </w:rPr>
        <w:t>Bellantoni</w:t>
      </w:r>
      <w:proofErr w:type="spellEnd"/>
      <w:r w:rsidRPr="0014256B">
        <w:rPr>
          <w:sz w:val="24"/>
          <w:szCs w:val="24"/>
        </w:rPr>
        <w:t xml:space="preserve"> P., </w:t>
      </w:r>
      <w:r w:rsidRPr="0014256B">
        <w:rPr>
          <w:i/>
          <w:iCs/>
          <w:sz w:val="24"/>
          <w:szCs w:val="24"/>
        </w:rPr>
        <w:t>Je</w:t>
      </w:r>
      <w:r w:rsidRPr="0014256B">
        <w:rPr>
          <w:rFonts w:hint="cs"/>
          <w:i/>
          <w:iCs/>
          <w:sz w:val="24"/>
          <w:szCs w:val="24"/>
        </w:rPr>
        <w:t>ś</w:t>
      </w:r>
      <w:r w:rsidRPr="0014256B">
        <w:rPr>
          <w:i/>
          <w:iCs/>
          <w:sz w:val="24"/>
          <w:szCs w:val="24"/>
        </w:rPr>
        <w:t>li to fiolet, kto</w:t>
      </w:r>
      <w:r w:rsidRPr="0014256B">
        <w:rPr>
          <w:rFonts w:hint="cs"/>
          <w:i/>
          <w:iCs/>
          <w:sz w:val="24"/>
          <w:szCs w:val="24"/>
        </w:rPr>
        <w:t>ś</w:t>
      </w:r>
      <w:r w:rsidRPr="0014256B">
        <w:rPr>
          <w:i/>
          <w:iCs/>
          <w:sz w:val="24"/>
          <w:szCs w:val="24"/>
        </w:rPr>
        <w:t xml:space="preserve"> umrze Teoria koloru w filmie</w:t>
      </w:r>
      <w:r w:rsidRPr="0014256B">
        <w:rPr>
          <w:sz w:val="24"/>
          <w:szCs w:val="24"/>
        </w:rPr>
        <w:t>, Warszawa 2010.</w:t>
      </w:r>
    </w:p>
    <w:p w14:paraId="0C274695" w14:textId="3DEA5726" w:rsidR="00217B08" w:rsidRDefault="00217B08" w:rsidP="00A967B9">
      <w:pPr>
        <w:pStyle w:val="TreA"/>
        <w:numPr>
          <w:ilvl w:val="0"/>
          <w:numId w:val="23"/>
        </w:numPr>
        <w:spacing w:after="240"/>
        <w:jc w:val="both"/>
        <w:rPr>
          <w:sz w:val="24"/>
          <w:szCs w:val="24"/>
        </w:rPr>
      </w:pPr>
      <w:r w:rsidRPr="00472241">
        <w:rPr>
          <w:sz w:val="24"/>
          <w:szCs w:val="24"/>
          <w:lang w:val="en-US"/>
        </w:rPr>
        <w:t xml:space="preserve">Bordwell D. </w:t>
      </w:r>
      <w:proofErr w:type="spellStart"/>
      <w:r w:rsidRPr="00472241">
        <w:rPr>
          <w:sz w:val="24"/>
          <w:szCs w:val="24"/>
          <w:lang w:val="en-US"/>
        </w:rPr>
        <w:t>i</w:t>
      </w:r>
      <w:proofErr w:type="spellEnd"/>
      <w:r w:rsidRPr="00472241">
        <w:rPr>
          <w:sz w:val="24"/>
          <w:szCs w:val="24"/>
          <w:lang w:val="en-US"/>
        </w:rPr>
        <w:t xml:space="preserve"> Thompson K.,</w:t>
      </w:r>
      <w:r w:rsidRPr="00472241">
        <w:rPr>
          <w:i/>
          <w:iCs/>
          <w:sz w:val="24"/>
          <w:szCs w:val="24"/>
          <w:lang w:val="en-US"/>
        </w:rPr>
        <w:t xml:space="preserve"> Film art. </w:t>
      </w:r>
      <w:r w:rsidRPr="00472241">
        <w:rPr>
          <w:i/>
          <w:iCs/>
          <w:sz w:val="24"/>
          <w:szCs w:val="24"/>
        </w:rPr>
        <w:t xml:space="preserve">Sztuka filmowa. Wprowadzenie, </w:t>
      </w:r>
      <w:r w:rsidRPr="00472241">
        <w:rPr>
          <w:sz w:val="24"/>
          <w:szCs w:val="24"/>
        </w:rPr>
        <w:t>Warszawa 2010 [Fragmenty: Film animowany (s. 428-439)</w:t>
      </w:r>
      <w:r w:rsidR="007936F0">
        <w:rPr>
          <w:sz w:val="24"/>
          <w:szCs w:val="24"/>
        </w:rPr>
        <w:t>, Forma abstrakcyjna (s. 409-418</w:t>
      </w:r>
      <w:r w:rsidRPr="00472241">
        <w:rPr>
          <w:sz w:val="24"/>
          <w:szCs w:val="24"/>
        </w:rPr>
        <w:t>].</w:t>
      </w:r>
    </w:p>
    <w:p w14:paraId="59CB888F" w14:textId="77777777" w:rsidR="00217B08" w:rsidRDefault="00217B08" w:rsidP="00A967B9">
      <w:pPr>
        <w:pStyle w:val="TreA"/>
        <w:numPr>
          <w:ilvl w:val="0"/>
          <w:numId w:val="23"/>
        </w:numPr>
        <w:spacing w:after="240"/>
        <w:jc w:val="both"/>
        <w:rPr>
          <w:sz w:val="24"/>
          <w:szCs w:val="24"/>
        </w:rPr>
      </w:pPr>
      <w:r w:rsidRPr="008C0319">
        <w:rPr>
          <w:i/>
          <w:iCs/>
          <w:sz w:val="24"/>
          <w:szCs w:val="24"/>
        </w:rPr>
        <w:t xml:space="preserve">Film awangardowy w Polsce i na </w:t>
      </w:r>
      <w:r w:rsidRPr="008C0319">
        <w:rPr>
          <w:rFonts w:hint="cs"/>
          <w:i/>
          <w:iCs/>
          <w:sz w:val="24"/>
          <w:szCs w:val="24"/>
        </w:rPr>
        <w:t>ś</w:t>
      </w:r>
      <w:r w:rsidRPr="008C0319">
        <w:rPr>
          <w:i/>
          <w:iCs/>
          <w:sz w:val="24"/>
          <w:szCs w:val="24"/>
        </w:rPr>
        <w:t>wiecie</w:t>
      </w:r>
      <w:r w:rsidRPr="008C0319">
        <w:rPr>
          <w:sz w:val="24"/>
          <w:szCs w:val="24"/>
        </w:rPr>
        <w:t>,</w:t>
      </w:r>
      <w:r>
        <w:rPr>
          <w:sz w:val="24"/>
          <w:szCs w:val="24"/>
        </w:rPr>
        <w:t xml:space="preserve"> red. </w:t>
      </w:r>
      <w:r w:rsidRPr="008C0319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8C0319">
        <w:rPr>
          <w:sz w:val="24"/>
          <w:szCs w:val="24"/>
        </w:rPr>
        <w:t xml:space="preserve"> W. Kluszczy</w:t>
      </w:r>
      <w:r w:rsidRPr="008C0319">
        <w:rPr>
          <w:rFonts w:hint="cs"/>
          <w:sz w:val="24"/>
          <w:szCs w:val="24"/>
        </w:rPr>
        <w:t>ń</w:t>
      </w:r>
      <w:r w:rsidRPr="008C0319">
        <w:rPr>
          <w:sz w:val="24"/>
          <w:szCs w:val="24"/>
        </w:rPr>
        <w:t xml:space="preserve">ski, </w:t>
      </w:r>
      <w:r w:rsidRPr="008C0319">
        <w:rPr>
          <w:rFonts w:hint="cs"/>
          <w:sz w:val="24"/>
          <w:szCs w:val="24"/>
        </w:rPr>
        <w:t>Łó</w:t>
      </w:r>
      <w:r w:rsidRPr="008C0319">
        <w:rPr>
          <w:sz w:val="24"/>
          <w:szCs w:val="24"/>
        </w:rPr>
        <w:t>d</w:t>
      </w:r>
      <w:r w:rsidRPr="008C0319">
        <w:rPr>
          <w:rFonts w:hint="cs"/>
          <w:sz w:val="24"/>
          <w:szCs w:val="24"/>
        </w:rPr>
        <w:t>ź</w:t>
      </w:r>
      <w:r w:rsidRPr="008C0319">
        <w:rPr>
          <w:sz w:val="24"/>
          <w:szCs w:val="24"/>
        </w:rPr>
        <w:t xml:space="preserve"> 1989.</w:t>
      </w:r>
    </w:p>
    <w:p w14:paraId="7042CC42" w14:textId="77777777" w:rsidR="00217B08" w:rsidRDefault="00217B08" w:rsidP="00A967B9">
      <w:pPr>
        <w:pStyle w:val="TreA"/>
        <w:numPr>
          <w:ilvl w:val="0"/>
          <w:numId w:val="23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Giżycki</w:t>
      </w:r>
      <w:r w:rsidRPr="0047224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472241">
        <w:rPr>
          <w:sz w:val="24"/>
          <w:szCs w:val="24"/>
        </w:rPr>
        <w:t xml:space="preserve">., </w:t>
      </w:r>
      <w:r w:rsidRPr="008C0319">
        <w:rPr>
          <w:i/>
          <w:iCs/>
          <w:sz w:val="24"/>
          <w:szCs w:val="24"/>
        </w:rPr>
        <w:t>Animacja - abstrakcja. Narodziny nowej sztuki</w:t>
      </w:r>
      <w:r w:rsidRPr="0047224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„Kwartalnik Filmowy” 70/2010, s. </w:t>
      </w:r>
      <w:r w:rsidRPr="008C0319">
        <w:rPr>
          <w:sz w:val="24"/>
          <w:szCs w:val="24"/>
        </w:rPr>
        <w:t>158-172</w:t>
      </w:r>
      <w:r>
        <w:rPr>
          <w:sz w:val="24"/>
          <w:szCs w:val="24"/>
        </w:rPr>
        <w:t xml:space="preserve">. </w:t>
      </w:r>
    </w:p>
    <w:p w14:paraId="619B4756" w14:textId="77777777" w:rsidR="00217B08" w:rsidRDefault="00217B08" w:rsidP="00217B08">
      <w:pPr>
        <w:pStyle w:val="TreA"/>
        <w:numPr>
          <w:ilvl w:val="0"/>
          <w:numId w:val="23"/>
        </w:numPr>
        <w:jc w:val="both"/>
        <w:rPr>
          <w:sz w:val="24"/>
          <w:szCs w:val="24"/>
        </w:rPr>
      </w:pPr>
      <w:r w:rsidRPr="00472241">
        <w:rPr>
          <w:sz w:val="24"/>
          <w:szCs w:val="24"/>
        </w:rPr>
        <w:t xml:space="preserve">Hendrykowski M., </w:t>
      </w:r>
      <w:r w:rsidRPr="00472241">
        <w:rPr>
          <w:i/>
          <w:sz w:val="24"/>
          <w:szCs w:val="24"/>
        </w:rPr>
        <w:t>Słownik terminów filmowych</w:t>
      </w:r>
      <w:r w:rsidRPr="00472241">
        <w:rPr>
          <w:sz w:val="24"/>
          <w:szCs w:val="24"/>
        </w:rPr>
        <w:t xml:space="preserve">, Poznań 1994. </w:t>
      </w:r>
    </w:p>
    <w:p w14:paraId="35543BC2" w14:textId="49180E8A" w:rsidR="00F34D55" w:rsidRPr="00472241" w:rsidRDefault="00217B08" w:rsidP="00217B08">
      <w:pPr>
        <w:pStyle w:val="TreA"/>
        <w:ind w:left="720"/>
        <w:jc w:val="both"/>
        <w:rPr>
          <w:sz w:val="24"/>
          <w:szCs w:val="24"/>
        </w:rPr>
      </w:pPr>
      <w:r w:rsidRPr="00217B08">
        <w:rPr>
          <w:sz w:val="24"/>
          <w:szCs w:val="24"/>
        </w:rPr>
        <w:t xml:space="preserve">Hasła: film </w:t>
      </w:r>
      <w:r>
        <w:rPr>
          <w:sz w:val="24"/>
          <w:szCs w:val="24"/>
        </w:rPr>
        <w:t>abstrakcyjny</w:t>
      </w:r>
    </w:p>
    <w:sectPr w:rsidR="00F34D55" w:rsidRPr="00472241" w:rsidSect="0014256B"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36BFA" w14:textId="77777777" w:rsidR="000B12F5" w:rsidRDefault="000B12F5" w:rsidP="000B3506">
      <w:r>
        <w:separator/>
      </w:r>
    </w:p>
  </w:endnote>
  <w:endnote w:type="continuationSeparator" w:id="0">
    <w:p w14:paraId="58ADA609" w14:textId="77777777" w:rsidR="000B12F5" w:rsidRDefault="000B12F5" w:rsidP="000B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F7C9F" w14:textId="77777777" w:rsidR="000B12F5" w:rsidRDefault="000B12F5" w:rsidP="000B3506">
      <w:r>
        <w:separator/>
      </w:r>
    </w:p>
  </w:footnote>
  <w:footnote w:type="continuationSeparator" w:id="0">
    <w:p w14:paraId="7EC1F023" w14:textId="77777777" w:rsidR="000B12F5" w:rsidRDefault="000B12F5" w:rsidP="000B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343E"/>
    <w:multiLevelType w:val="hybridMultilevel"/>
    <w:tmpl w:val="B4CA5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46AD"/>
    <w:multiLevelType w:val="hybridMultilevel"/>
    <w:tmpl w:val="9C04B586"/>
    <w:lvl w:ilvl="0" w:tplc="DFEE6C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60C4"/>
    <w:multiLevelType w:val="hybridMultilevel"/>
    <w:tmpl w:val="FE1C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4706"/>
    <w:multiLevelType w:val="hybridMultilevel"/>
    <w:tmpl w:val="8760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F64D7"/>
    <w:multiLevelType w:val="hybridMultilevel"/>
    <w:tmpl w:val="611A8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3724"/>
    <w:multiLevelType w:val="hybridMultilevel"/>
    <w:tmpl w:val="16A28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F221D"/>
    <w:multiLevelType w:val="hybridMultilevel"/>
    <w:tmpl w:val="964C6FE4"/>
    <w:lvl w:ilvl="0" w:tplc="AF82AEF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004B"/>
    <w:multiLevelType w:val="hybridMultilevel"/>
    <w:tmpl w:val="A23A319E"/>
    <w:lvl w:ilvl="0" w:tplc="0415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15DA1"/>
    <w:multiLevelType w:val="hybridMultilevel"/>
    <w:tmpl w:val="589A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44D78"/>
    <w:multiLevelType w:val="hybridMultilevel"/>
    <w:tmpl w:val="E590698E"/>
    <w:lvl w:ilvl="0" w:tplc="FFDADF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3626C"/>
    <w:multiLevelType w:val="hybridMultilevel"/>
    <w:tmpl w:val="1A5C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572F2"/>
    <w:multiLevelType w:val="hybridMultilevel"/>
    <w:tmpl w:val="7E089B76"/>
    <w:lvl w:ilvl="0" w:tplc="92123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8"/>
        <w:szCs w:val="2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D44104"/>
    <w:multiLevelType w:val="hybridMultilevel"/>
    <w:tmpl w:val="ACB2AEF0"/>
    <w:lvl w:ilvl="0" w:tplc="C2D4F5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1A1F"/>
    <w:multiLevelType w:val="hybridMultilevel"/>
    <w:tmpl w:val="8EC2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405"/>
    <w:multiLevelType w:val="hybridMultilevel"/>
    <w:tmpl w:val="B5C8433C"/>
    <w:numStyleLink w:val="Litery"/>
  </w:abstractNum>
  <w:abstractNum w:abstractNumId="15" w15:restartNumberingAfterBreak="0">
    <w:nsid w:val="4F2E5916"/>
    <w:multiLevelType w:val="hybridMultilevel"/>
    <w:tmpl w:val="722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C5316"/>
    <w:multiLevelType w:val="hybridMultilevel"/>
    <w:tmpl w:val="620E3A74"/>
    <w:lvl w:ilvl="0" w:tplc="F998C0E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1492E"/>
    <w:multiLevelType w:val="hybridMultilevel"/>
    <w:tmpl w:val="6FF22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121D"/>
    <w:multiLevelType w:val="hybridMultilevel"/>
    <w:tmpl w:val="3F52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23F9A"/>
    <w:multiLevelType w:val="hybridMultilevel"/>
    <w:tmpl w:val="7DDC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34C29"/>
    <w:multiLevelType w:val="hybridMultilevel"/>
    <w:tmpl w:val="17FA2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11F2B"/>
    <w:multiLevelType w:val="hybridMultilevel"/>
    <w:tmpl w:val="E502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6457C"/>
    <w:multiLevelType w:val="hybridMultilevel"/>
    <w:tmpl w:val="B5C8433C"/>
    <w:styleLink w:val="Litery"/>
    <w:lvl w:ilvl="0" w:tplc="E04447E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2274E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0E3022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6032C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B76C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CC970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082F8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A56DC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205CE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8A95BDC"/>
    <w:multiLevelType w:val="hybridMultilevel"/>
    <w:tmpl w:val="87461F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5E0787"/>
    <w:multiLevelType w:val="hybridMultilevel"/>
    <w:tmpl w:val="E6E6C9AA"/>
    <w:lvl w:ilvl="0" w:tplc="2B28F94E">
      <w:start w:val="13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9C508A5"/>
    <w:multiLevelType w:val="hybridMultilevel"/>
    <w:tmpl w:val="81E0D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F578E"/>
    <w:multiLevelType w:val="hybridMultilevel"/>
    <w:tmpl w:val="9B00E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022CB"/>
    <w:multiLevelType w:val="hybridMultilevel"/>
    <w:tmpl w:val="2C400030"/>
    <w:lvl w:ilvl="0" w:tplc="8504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F79B9"/>
    <w:multiLevelType w:val="hybridMultilevel"/>
    <w:tmpl w:val="EDFA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D6952"/>
    <w:multiLevelType w:val="hybridMultilevel"/>
    <w:tmpl w:val="30520188"/>
    <w:lvl w:ilvl="0" w:tplc="013803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A503F"/>
    <w:multiLevelType w:val="hybridMultilevel"/>
    <w:tmpl w:val="184C7280"/>
    <w:lvl w:ilvl="0" w:tplc="F1E448B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30"/>
  </w:num>
  <w:num w:numId="11">
    <w:abstractNumId w:val="25"/>
  </w:num>
  <w:num w:numId="12">
    <w:abstractNumId w:val="11"/>
  </w:num>
  <w:num w:numId="13">
    <w:abstractNumId w:val="29"/>
  </w:num>
  <w:num w:numId="14">
    <w:abstractNumId w:val="18"/>
  </w:num>
  <w:num w:numId="15">
    <w:abstractNumId w:val="5"/>
  </w:num>
  <w:num w:numId="16">
    <w:abstractNumId w:val="8"/>
  </w:num>
  <w:num w:numId="17">
    <w:abstractNumId w:val="2"/>
  </w:num>
  <w:num w:numId="18">
    <w:abstractNumId w:val="12"/>
  </w:num>
  <w:num w:numId="19">
    <w:abstractNumId w:val="13"/>
  </w:num>
  <w:num w:numId="20">
    <w:abstractNumId w:val="23"/>
  </w:num>
  <w:num w:numId="21">
    <w:abstractNumId w:val="10"/>
  </w:num>
  <w:num w:numId="22">
    <w:abstractNumId w:val="21"/>
  </w:num>
  <w:num w:numId="23">
    <w:abstractNumId w:val="0"/>
  </w:num>
  <w:num w:numId="24">
    <w:abstractNumId w:val="27"/>
  </w:num>
  <w:num w:numId="25">
    <w:abstractNumId w:val="26"/>
  </w:num>
  <w:num w:numId="26">
    <w:abstractNumId w:val="24"/>
  </w:num>
  <w:num w:numId="27">
    <w:abstractNumId w:val="28"/>
  </w:num>
  <w:num w:numId="28">
    <w:abstractNumId w:val="19"/>
  </w:num>
  <w:num w:numId="29">
    <w:abstractNumId w:val="17"/>
  </w:num>
  <w:num w:numId="30">
    <w:abstractNumId w:val="2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6F"/>
    <w:rsid w:val="00013712"/>
    <w:rsid w:val="00035C77"/>
    <w:rsid w:val="000400E4"/>
    <w:rsid w:val="0004282E"/>
    <w:rsid w:val="00042BAF"/>
    <w:rsid w:val="00051249"/>
    <w:rsid w:val="00054AF6"/>
    <w:rsid w:val="000614C2"/>
    <w:rsid w:val="00071A88"/>
    <w:rsid w:val="00087E6D"/>
    <w:rsid w:val="000B12F5"/>
    <w:rsid w:val="000B3506"/>
    <w:rsid w:val="000C2DDA"/>
    <w:rsid w:val="000E088C"/>
    <w:rsid w:val="000F32A9"/>
    <w:rsid w:val="000F64A7"/>
    <w:rsid w:val="00111F47"/>
    <w:rsid w:val="00122849"/>
    <w:rsid w:val="00136726"/>
    <w:rsid w:val="0014256B"/>
    <w:rsid w:val="00164CBC"/>
    <w:rsid w:val="0018208A"/>
    <w:rsid w:val="00190570"/>
    <w:rsid w:val="001955FF"/>
    <w:rsid w:val="00196B10"/>
    <w:rsid w:val="001B4D46"/>
    <w:rsid w:val="001D3764"/>
    <w:rsid w:val="001D7C6E"/>
    <w:rsid w:val="001E58F5"/>
    <w:rsid w:val="00206CD1"/>
    <w:rsid w:val="00217B08"/>
    <w:rsid w:val="0022442B"/>
    <w:rsid w:val="00246A47"/>
    <w:rsid w:val="00257045"/>
    <w:rsid w:val="0027006C"/>
    <w:rsid w:val="00275B60"/>
    <w:rsid w:val="00295BDF"/>
    <w:rsid w:val="002B3FC9"/>
    <w:rsid w:val="002C72B6"/>
    <w:rsid w:val="002D046F"/>
    <w:rsid w:val="002D564C"/>
    <w:rsid w:val="002E2B56"/>
    <w:rsid w:val="00303B53"/>
    <w:rsid w:val="0033220A"/>
    <w:rsid w:val="00332A6B"/>
    <w:rsid w:val="00337173"/>
    <w:rsid w:val="00340871"/>
    <w:rsid w:val="003422FC"/>
    <w:rsid w:val="00370157"/>
    <w:rsid w:val="003822E8"/>
    <w:rsid w:val="00391A09"/>
    <w:rsid w:val="003936E4"/>
    <w:rsid w:val="003A19CC"/>
    <w:rsid w:val="003A293C"/>
    <w:rsid w:val="003A2EC2"/>
    <w:rsid w:val="003B11E7"/>
    <w:rsid w:val="003C7A04"/>
    <w:rsid w:val="003E1FD2"/>
    <w:rsid w:val="003F00FD"/>
    <w:rsid w:val="003F2387"/>
    <w:rsid w:val="003F7233"/>
    <w:rsid w:val="00403184"/>
    <w:rsid w:val="00407E01"/>
    <w:rsid w:val="00414624"/>
    <w:rsid w:val="00434AF0"/>
    <w:rsid w:val="004378B2"/>
    <w:rsid w:val="00460FF2"/>
    <w:rsid w:val="00472241"/>
    <w:rsid w:val="00474361"/>
    <w:rsid w:val="004A3788"/>
    <w:rsid w:val="004A7531"/>
    <w:rsid w:val="004B13DB"/>
    <w:rsid w:val="004C002C"/>
    <w:rsid w:val="004D18EC"/>
    <w:rsid w:val="004F014B"/>
    <w:rsid w:val="00515E0B"/>
    <w:rsid w:val="00523B45"/>
    <w:rsid w:val="0056495F"/>
    <w:rsid w:val="00577FB1"/>
    <w:rsid w:val="00595138"/>
    <w:rsid w:val="005B3243"/>
    <w:rsid w:val="005C15F7"/>
    <w:rsid w:val="00641233"/>
    <w:rsid w:val="00644820"/>
    <w:rsid w:val="006645C2"/>
    <w:rsid w:val="00666271"/>
    <w:rsid w:val="006669A3"/>
    <w:rsid w:val="00674005"/>
    <w:rsid w:val="006940AA"/>
    <w:rsid w:val="00694EB6"/>
    <w:rsid w:val="006A377A"/>
    <w:rsid w:val="006D5244"/>
    <w:rsid w:val="006E0E17"/>
    <w:rsid w:val="006E4260"/>
    <w:rsid w:val="006E510E"/>
    <w:rsid w:val="006F587A"/>
    <w:rsid w:val="007134F0"/>
    <w:rsid w:val="007318B4"/>
    <w:rsid w:val="00741BE5"/>
    <w:rsid w:val="00745E01"/>
    <w:rsid w:val="00754917"/>
    <w:rsid w:val="00763E9B"/>
    <w:rsid w:val="00766EE7"/>
    <w:rsid w:val="00773378"/>
    <w:rsid w:val="007841E4"/>
    <w:rsid w:val="00787377"/>
    <w:rsid w:val="007936F0"/>
    <w:rsid w:val="00795DA9"/>
    <w:rsid w:val="007A6829"/>
    <w:rsid w:val="007B01A5"/>
    <w:rsid w:val="007B1859"/>
    <w:rsid w:val="007E5F11"/>
    <w:rsid w:val="008165A2"/>
    <w:rsid w:val="00822A02"/>
    <w:rsid w:val="00841A44"/>
    <w:rsid w:val="00846949"/>
    <w:rsid w:val="00854012"/>
    <w:rsid w:val="008642FB"/>
    <w:rsid w:val="0088276F"/>
    <w:rsid w:val="00895522"/>
    <w:rsid w:val="008B1AEC"/>
    <w:rsid w:val="008C0319"/>
    <w:rsid w:val="008D1C2C"/>
    <w:rsid w:val="009332AD"/>
    <w:rsid w:val="00956C3E"/>
    <w:rsid w:val="00976567"/>
    <w:rsid w:val="00987933"/>
    <w:rsid w:val="00996AF4"/>
    <w:rsid w:val="009A39DC"/>
    <w:rsid w:val="009A7860"/>
    <w:rsid w:val="009B2348"/>
    <w:rsid w:val="009C3E02"/>
    <w:rsid w:val="009E7A3D"/>
    <w:rsid w:val="00A003B3"/>
    <w:rsid w:val="00A06288"/>
    <w:rsid w:val="00A1350F"/>
    <w:rsid w:val="00A15CBE"/>
    <w:rsid w:val="00A45564"/>
    <w:rsid w:val="00A657E0"/>
    <w:rsid w:val="00A723B3"/>
    <w:rsid w:val="00A74A93"/>
    <w:rsid w:val="00A8307F"/>
    <w:rsid w:val="00A9649B"/>
    <w:rsid w:val="00A967B9"/>
    <w:rsid w:val="00AB739B"/>
    <w:rsid w:val="00AC5764"/>
    <w:rsid w:val="00AC654B"/>
    <w:rsid w:val="00AC78D8"/>
    <w:rsid w:val="00AD6040"/>
    <w:rsid w:val="00AD69CE"/>
    <w:rsid w:val="00AF4490"/>
    <w:rsid w:val="00B01535"/>
    <w:rsid w:val="00B05DDD"/>
    <w:rsid w:val="00B17499"/>
    <w:rsid w:val="00B44D2E"/>
    <w:rsid w:val="00B57808"/>
    <w:rsid w:val="00B60A56"/>
    <w:rsid w:val="00B9413A"/>
    <w:rsid w:val="00B95FBA"/>
    <w:rsid w:val="00BA25AB"/>
    <w:rsid w:val="00BC4AEB"/>
    <w:rsid w:val="00BD080B"/>
    <w:rsid w:val="00BD2FDF"/>
    <w:rsid w:val="00BD6174"/>
    <w:rsid w:val="00C04601"/>
    <w:rsid w:val="00C06123"/>
    <w:rsid w:val="00C22CD3"/>
    <w:rsid w:val="00C249E6"/>
    <w:rsid w:val="00C27148"/>
    <w:rsid w:val="00C37B61"/>
    <w:rsid w:val="00C42BA6"/>
    <w:rsid w:val="00C516DB"/>
    <w:rsid w:val="00C71B63"/>
    <w:rsid w:val="00C74843"/>
    <w:rsid w:val="00CB7D26"/>
    <w:rsid w:val="00D223EC"/>
    <w:rsid w:val="00D35CA0"/>
    <w:rsid w:val="00D412BE"/>
    <w:rsid w:val="00D41326"/>
    <w:rsid w:val="00D4734B"/>
    <w:rsid w:val="00D52914"/>
    <w:rsid w:val="00D74169"/>
    <w:rsid w:val="00D94AD8"/>
    <w:rsid w:val="00DB2DB1"/>
    <w:rsid w:val="00DD1565"/>
    <w:rsid w:val="00DD3C90"/>
    <w:rsid w:val="00DE43A5"/>
    <w:rsid w:val="00DE6DA2"/>
    <w:rsid w:val="00E07197"/>
    <w:rsid w:val="00E11F8A"/>
    <w:rsid w:val="00E15886"/>
    <w:rsid w:val="00E27465"/>
    <w:rsid w:val="00E27A0D"/>
    <w:rsid w:val="00E27B65"/>
    <w:rsid w:val="00E40A5F"/>
    <w:rsid w:val="00E54547"/>
    <w:rsid w:val="00EA2026"/>
    <w:rsid w:val="00EA4F8A"/>
    <w:rsid w:val="00EA737A"/>
    <w:rsid w:val="00EB240F"/>
    <w:rsid w:val="00EB4EDA"/>
    <w:rsid w:val="00EE09F6"/>
    <w:rsid w:val="00F001A2"/>
    <w:rsid w:val="00F0502A"/>
    <w:rsid w:val="00F162B1"/>
    <w:rsid w:val="00F209A5"/>
    <w:rsid w:val="00F34D55"/>
    <w:rsid w:val="00F379C5"/>
    <w:rsid w:val="00F459EC"/>
    <w:rsid w:val="00F4727A"/>
    <w:rsid w:val="00F9016C"/>
    <w:rsid w:val="00F9466C"/>
    <w:rsid w:val="00F9767B"/>
    <w:rsid w:val="00FB3812"/>
    <w:rsid w:val="00FC641D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33AD"/>
  <w15:chartTrackingRefBased/>
  <w15:docId w15:val="{213A7038-D037-4B1C-974E-8C74BB81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5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Times New Roman"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8827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8827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Litery">
    <w:name w:val="Litery"/>
    <w:rsid w:val="0088276F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190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190570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0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24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E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blocksatz">
    <w:name w:val="blocksatz"/>
    <w:basedOn w:val="Normalny"/>
    <w:rsid w:val="00784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  <w:lang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8F5"/>
    <w:rPr>
      <w:rFonts w:ascii="Helvetica" w:eastAsia="Arial Unicode MS" w:hAnsi="Helvetica" w:cs="Times New Roman"/>
      <w:sz w:val="20"/>
      <w:szCs w:val="20"/>
      <w:bdr w:val="nil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8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763C-9FAA-4163-8F77-5FBE074E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4503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Pietrzak</dc:creator>
  <cp:keywords/>
  <dc:description/>
  <cp:lastModifiedBy>Maciej Pietrzak</cp:lastModifiedBy>
  <cp:revision>3</cp:revision>
  <cp:lastPrinted>2020-02-21T16:05:00Z</cp:lastPrinted>
  <dcterms:created xsi:type="dcterms:W3CDTF">2021-03-12T23:58:00Z</dcterms:created>
  <dcterms:modified xsi:type="dcterms:W3CDTF">2021-03-12T23:59:00Z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http://www.zotero.org/styles/polish_for_humanities</vt:lpwstr>
  </property>
  <property fmtid="{D5CDD505-2E9C-101B-9397-08002B2CF9AE}" pid="21" name="Mendeley Recent Style Name 9_1">
    <vt:lpwstr>Polish Citation Style for Humanities and Social Sciences 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7b313354-eb41-3546-bbe8-3415c16ef06b</vt:lpwstr>
  </property>
  <property fmtid="{D5CDD505-2E9C-101B-9397-08002B2CF9AE}" pid="24" name="Mendeley Citation Style_1">
    <vt:lpwstr>http://www.zotero.org/styles/polish_for_humanities</vt:lpwstr>
  </property>
</Properties>
</file>